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66C" w:rsidRDefault="00FF066C" w:rsidP="00FF066C">
      <w:pPr>
        <w:spacing w:after="200" w:line="276" w:lineRule="auto"/>
        <w:jc w:val="center"/>
        <w:rPr>
          <w:b/>
        </w:rPr>
      </w:pPr>
      <w:bookmarkStart w:id="0" w:name="_Ref450206017"/>
      <w:bookmarkStart w:id="1" w:name="_Ref450206149"/>
      <w:bookmarkStart w:id="2" w:name="_GoBack"/>
      <w:bookmarkEnd w:id="2"/>
      <w:r>
        <w:rPr>
          <w:b/>
        </w:rPr>
        <w:t xml:space="preserve">Anexo </w:t>
      </w:r>
      <w:r>
        <w:rPr>
          <w:b/>
        </w:rPr>
        <w:fldChar w:fldCharType="begin"/>
      </w:r>
      <w:r>
        <w:rPr>
          <w:b/>
        </w:rPr>
        <w:instrText xml:space="preserve"> SEQ Anexo \* ROMAN </w:instrText>
      </w:r>
      <w:r>
        <w:rPr>
          <w:b/>
        </w:rPr>
        <w:fldChar w:fldCharType="separate"/>
      </w:r>
      <w:r>
        <w:rPr>
          <w:b/>
          <w:noProof/>
        </w:rPr>
        <w:t>I</w:t>
      </w:r>
      <w:r>
        <w:rPr>
          <w:b/>
        </w:rPr>
        <w:fldChar w:fldCharType="end"/>
      </w:r>
      <w:r>
        <w:rPr>
          <w:b/>
        </w:rPr>
        <w:t>: Justificativas</w:t>
      </w:r>
    </w:p>
    <w:p w:rsidR="00FF066C" w:rsidRDefault="00FF066C" w:rsidP="00FF066C">
      <w:pPr>
        <w:rPr>
          <w:szCs w:val="20"/>
        </w:rPr>
      </w:pPr>
    </w:p>
    <w:p w:rsidR="00FF066C" w:rsidRDefault="00FF066C" w:rsidP="00FF066C">
      <w:pPr>
        <w:rPr>
          <w:szCs w:val="20"/>
        </w:rPr>
      </w:pPr>
      <w:r>
        <w:rPr>
          <w:b/>
          <w:szCs w:val="20"/>
        </w:rPr>
        <w:t>Finalidade</w:t>
      </w:r>
      <w:r>
        <w:rPr>
          <w:szCs w:val="20"/>
        </w:rPr>
        <w:t>: este anexo tem por finalidade incluir exigências e particularidades em função da especificidade da obra ou serviço de engenharia, previstas no Termo de Referência e que aqui após relacionadas passam a integrar o TR.</w:t>
      </w:r>
    </w:p>
    <w:p w:rsidR="00FF066C" w:rsidRDefault="00FF066C" w:rsidP="00FF066C">
      <w:pPr>
        <w:rPr>
          <w:szCs w:val="20"/>
        </w:rPr>
      </w:pPr>
    </w:p>
    <w:p w:rsidR="00FF066C" w:rsidRDefault="00FF066C" w:rsidP="00FF066C">
      <w:pPr>
        <w:rPr>
          <w:b/>
          <w:szCs w:val="20"/>
        </w:rPr>
      </w:pPr>
      <w:r>
        <w:rPr>
          <w:b/>
          <w:szCs w:val="20"/>
        </w:rPr>
        <w:t>Justificativas:</w:t>
      </w:r>
    </w:p>
    <w:p w:rsidR="00FF066C" w:rsidRDefault="00FF066C" w:rsidP="00FF066C">
      <w:pPr>
        <w:rPr>
          <w:szCs w:val="20"/>
        </w:rPr>
      </w:pPr>
    </w:p>
    <w:p w:rsidR="00FF066C" w:rsidRDefault="00FF066C" w:rsidP="00FF066C">
      <w:pPr>
        <w:rPr>
          <w:b/>
          <w:szCs w:val="20"/>
          <w:u w:val="single"/>
        </w:rPr>
      </w:pPr>
      <w:r>
        <w:rPr>
          <w:b/>
          <w:szCs w:val="20"/>
          <w:u w:val="single"/>
        </w:rPr>
        <w:t>Da necessidade da contratação</w:t>
      </w:r>
    </w:p>
    <w:p w:rsidR="00FF066C" w:rsidRDefault="00FF066C" w:rsidP="00FF066C">
      <w:pPr>
        <w:rPr>
          <w:b/>
          <w:szCs w:val="20"/>
          <w:u w:val="single"/>
        </w:rPr>
      </w:pPr>
    </w:p>
    <w:p w:rsidR="00FF066C" w:rsidRDefault="00FF066C" w:rsidP="00FF066C">
      <w:pPr>
        <w:rPr>
          <w:szCs w:val="20"/>
        </w:rPr>
      </w:pPr>
      <w:r>
        <w:rPr>
          <w:szCs w:val="20"/>
        </w:rPr>
        <w:t>O processo licitatório se justifica por se tratar de empreendimento de interesse público, do qual depende a conclusão de uma obra previamente iniciada e atualmente paralisada, bem como, consequentemente, a operação do sistema de esgotamento sanitário da cidade de Capitólio/MG. Por esse motivo, tona-se extremamente necessária a contratação dos serviços objeto da presente licitação.</w:t>
      </w:r>
    </w:p>
    <w:p w:rsidR="00FF066C" w:rsidRDefault="00FF066C" w:rsidP="00FF066C">
      <w:pPr>
        <w:rPr>
          <w:szCs w:val="20"/>
        </w:rPr>
      </w:pPr>
    </w:p>
    <w:p w:rsidR="00FF066C" w:rsidRDefault="00FF066C" w:rsidP="00FF066C">
      <w:pPr>
        <w:rPr>
          <w:szCs w:val="20"/>
        </w:rPr>
      </w:pPr>
      <w:r>
        <w:rPr>
          <w:szCs w:val="20"/>
        </w:rPr>
        <w:t>A falta de um sistema de esgotamento sanitário, apto para receber e tratar os esgotos gerados por esta comunidade, promove a contaminação do meio ambiente, sobretudo dos corpos hídricos superficiais, das águas subterrâneas e do solo, podendo ocasionar problemas de saúde à população. O lançamento do efluente no solo, devido a infiltração, promove a contaminação do lençol freático, podendo chegar aos corpos hídricos superficiais. O lançamento do esgoto não tratado diretamente nas águas superficiais da região também gera a contaminação das mesmas, tornando-as inadequados para a realização de atividades primordiais relacionadas ao consumo dos recursos hídricos e a outros usos não consuntivos, como recreação, pesca etc.</w:t>
      </w:r>
    </w:p>
    <w:p w:rsidR="00FF066C" w:rsidRDefault="00FF066C" w:rsidP="00FF066C">
      <w:pPr>
        <w:rPr>
          <w:szCs w:val="20"/>
        </w:rPr>
      </w:pPr>
    </w:p>
    <w:p w:rsidR="00FF066C" w:rsidRDefault="00FF066C" w:rsidP="00FF066C">
      <w:pPr>
        <w:rPr>
          <w:szCs w:val="20"/>
        </w:rPr>
      </w:pPr>
      <w:r>
        <w:rPr>
          <w:szCs w:val="20"/>
        </w:rPr>
        <w:t>Acrescenta-se, no caso específico desse empreendimento, o fato da cidade de Capitólio/MG apresentar grande vocação turística, atraindo grande contingente populacional todos os anos, o que aumenta o consumo de água e produção de efluentes, o que também justifica a implantação de um SES compatível.</w:t>
      </w:r>
    </w:p>
    <w:p w:rsidR="00FF066C" w:rsidRDefault="00FF066C" w:rsidP="00FF066C">
      <w:pPr>
        <w:rPr>
          <w:szCs w:val="20"/>
        </w:rPr>
      </w:pPr>
    </w:p>
    <w:p w:rsidR="00FF066C" w:rsidRDefault="00FF066C" w:rsidP="00FF066C">
      <w:pPr>
        <w:rPr>
          <w:szCs w:val="20"/>
        </w:rPr>
      </w:pPr>
      <w:r>
        <w:rPr>
          <w:szCs w:val="20"/>
        </w:rPr>
        <w:t>De um modo geral, a implantação do sistema de esgotamento sanitário da sede municipal de Capitólio está alinhada com a finalidade de revitalização da Bacia Hidrográfica do Rio São Francisco e também com o Desenvolvimento Regional, ambos os fins, atinentes à missão da Codevasf.</w:t>
      </w:r>
    </w:p>
    <w:p w:rsidR="00FF066C" w:rsidRDefault="00FF066C" w:rsidP="00FF066C">
      <w:pPr>
        <w:rPr>
          <w:szCs w:val="20"/>
        </w:rPr>
      </w:pPr>
    </w:p>
    <w:p w:rsidR="00FF066C" w:rsidRDefault="00FF066C" w:rsidP="00FF066C">
      <w:pPr>
        <w:rPr>
          <w:b/>
          <w:szCs w:val="20"/>
          <w:u w:val="single"/>
        </w:rPr>
      </w:pPr>
      <w:r>
        <w:rPr>
          <w:b/>
          <w:szCs w:val="20"/>
          <w:u w:val="single"/>
        </w:rPr>
        <w:t>Regime de execução</w:t>
      </w:r>
    </w:p>
    <w:p w:rsidR="00FF066C" w:rsidRDefault="00FF066C" w:rsidP="00FF066C">
      <w:pPr>
        <w:rPr>
          <w:szCs w:val="20"/>
        </w:rPr>
      </w:pPr>
      <w:r>
        <w:rPr>
          <w:szCs w:val="20"/>
        </w:rPr>
        <w:t>O regime adotado para essa contratação será Empreitada por Preços Unitários: contratação por preço certo de unidades determinadas. O pagamento será por medições das unidades efetivamente executadas.</w:t>
      </w:r>
    </w:p>
    <w:p w:rsidR="00FF066C" w:rsidRDefault="00FF066C" w:rsidP="00FF066C">
      <w:pPr>
        <w:rPr>
          <w:szCs w:val="20"/>
        </w:rPr>
      </w:pPr>
    </w:p>
    <w:p w:rsidR="00FF066C" w:rsidRDefault="00FF066C" w:rsidP="00FF066C">
      <w:pPr>
        <w:rPr>
          <w:b/>
          <w:color w:val="4BACC6" w:themeColor="accent5"/>
          <w:lang w:eastAsia="pt-BR"/>
        </w:rPr>
      </w:pPr>
      <w:r>
        <w:rPr>
          <w:lang w:eastAsia="pt-BR"/>
        </w:rPr>
        <w:t>Apesar do bom nível de detalhamento do projeto básico, em seus aspectos metodológicos, tecnológicos e construtivos, existem serviços com certo grau de incerteza na definição dos quantitativos devido suas características executivas, tais como: escavação de valas em areia e em rocha, reaterro de valas, momento de transporte de material para aquisição e para bota-fora, volume de concreto, área de forma, quantidade de armação.</w:t>
      </w:r>
    </w:p>
    <w:p w:rsidR="00FF066C" w:rsidRDefault="00FF066C" w:rsidP="00FF066C">
      <w:pPr>
        <w:rPr>
          <w:lang w:eastAsia="pt-BR"/>
        </w:rPr>
      </w:pPr>
      <w:r>
        <w:rPr>
          <w:lang w:eastAsia="pt-BR"/>
        </w:rPr>
        <w:t xml:space="preserve"> </w:t>
      </w:r>
    </w:p>
    <w:p w:rsidR="00FF066C" w:rsidRDefault="00FF066C" w:rsidP="00FF066C">
      <w:pPr>
        <w:rPr>
          <w:lang w:eastAsia="pt-BR"/>
        </w:rPr>
      </w:pPr>
      <w:r>
        <w:rPr>
          <w:lang w:eastAsia="pt-BR"/>
        </w:rPr>
        <w:t>Além disso, como se trata de obra de complementação e finalização de serviços já existentes, podem ocorrer alguns imprevistos, não considerados na planilha orçamentária, que afetem quantitativos de determinados itens.</w:t>
      </w:r>
    </w:p>
    <w:p w:rsidR="00FF066C" w:rsidRDefault="00FF066C" w:rsidP="00FF066C">
      <w:pPr>
        <w:rPr>
          <w:lang w:eastAsia="pt-BR"/>
        </w:rPr>
      </w:pPr>
      <w:r>
        <w:rPr>
          <w:lang w:eastAsia="pt-BR"/>
        </w:rPr>
        <w:t xml:space="preserve"> </w:t>
      </w:r>
    </w:p>
    <w:p w:rsidR="00FF066C" w:rsidRDefault="00FF066C" w:rsidP="00FF066C">
      <w:pPr>
        <w:rPr>
          <w:lang w:eastAsia="pt-BR"/>
        </w:rPr>
      </w:pPr>
      <w:r>
        <w:rPr>
          <w:lang w:eastAsia="pt-BR"/>
        </w:rPr>
        <w:t>Este regime de execução é o mais apropriado para o objeto da licitação, pois será pago somente os serviços efetivamente executados, mediante medições mensais, dos preços unitários propostos pela contratada.</w:t>
      </w:r>
    </w:p>
    <w:p w:rsidR="00FF066C" w:rsidRDefault="00FF066C" w:rsidP="00FF066C">
      <w:pPr>
        <w:rPr>
          <w:szCs w:val="20"/>
        </w:rPr>
      </w:pPr>
    </w:p>
    <w:p w:rsidR="00FF066C" w:rsidRDefault="00FF066C" w:rsidP="00FF066C">
      <w:pPr>
        <w:rPr>
          <w:szCs w:val="20"/>
        </w:rPr>
      </w:pPr>
    </w:p>
    <w:p w:rsidR="00FF066C" w:rsidRDefault="00FF066C" w:rsidP="00FF066C">
      <w:pPr>
        <w:rPr>
          <w:szCs w:val="20"/>
        </w:rPr>
      </w:pPr>
    </w:p>
    <w:p w:rsidR="00FF066C" w:rsidRDefault="00FF066C" w:rsidP="00FF066C">
      <w:pPr>
        <w:rPr>
          <w:szCs w:val="20"/>
        </w:rPr>
      </w:pPr>
    </w:p>
    <w:p w:rsidR="00FF066C" w:rsidRDefault="00FF066C" w:rsidP="00FF066C">
      <w:pPr>
        <w:rPr>
          <w:szCs w:val="20"/>
        </w:rPr>
      </w:pPr>
    </w:p>
    <w:p w:rsidR="00FF066C" w:rsidRDefault="00FF066C" w:rsidP="00FF066C">
      <w:pPr>
        <w:rPr>
          <w:szCs w:val="20"/>
        </w:rPr>
      </w:pPr>
    </w:p>
    <w:p w:rsidR="00FF066C" w:rsidRDefault="00FF066C" w:rsidP="00FF066C">
      <w:pPr>
        <w:rPr>
          <w:szCs w:val="20"/>
        </w:rPr>
      </w:pPr>
      <w:r>
        <w:rPr>
          <w:b/>
          <w:szCs w:val="20"/>
          <w:u w:val="single"/>
        </w:rPr>
        <w:lastRenderedPageBreak/>
        <w:t>Permite Participação de Consórcios</w:t>
      </w:r>
      <w:r>
        <w:rPr>
          <w:szCs w:val="20"/>
        </w:rPr>
        <w:t xml:space="preserve">: </w:t>
      </w:r>
      <w:r>
        <w:rPr>
          <w:b/>
          <w:szCs w:val="20"/>
        </w:rPr>
        <w:t>Não</w:t>
      </w:r>
    </w:p>
    <w:p w:rsidR="00FF066C" w:rsidRDefault="00FF066C" w:rsidP="00FF066C">
      <w:pPr>
        <w:rPr>
          <w:szCs w:val="20"/>
        </w:rPr>
      </w:pPr>
    </w:p>
    <w:p w:rsidR="00FF066C" w:rsidRDefault="00FF066C" w:rsidP="00FF066C">
      <w:pPr>
        <w:rPr>
          <w:szCs w:val="20"/>
        </w:rPr>
      </w:pPr>
      <w:r>
        <w:rPr>
          <w:szCs w:val="20"/>
        </w:rPr>
        <w:t>Não será permitida. A logística necessária para cumprimento do objeto não exige o envolvimento de empresas com diferentes especialidades, sendo, consequentemente, impertinente a formação de consórcios, com intuito de reforçar a capacidade técnica e financeira do Licitante.</w:t>
      </w:r>
    </w:p>
    <w:p w:rsidR="00FF066C" w:rsidRDefault="00FF066C" w:rsidP="00FF066C">
      <w:pPr>
        <w:rPr>
          <w:szCs w:val="20"/>
        </w:rPr>
      </w:pPr>
    </w:p>
    <w:p w:rsidR="00FF066C" w:rsidRDefault="00FF066C" w:rsidP="00FF066C">
      <w:pPr>
        <w:rPr>
          <w:b/>
          <w:szCs w:val="20"/>
          <w:u w:val="single"/>
        </w:rPr>
      </w:pPr>
    </w:p>
    <w:p w:rsidR="00FF066C" w:rsidRDefault="00FF066C" w:rsidP="00FF066C">
      <w:pPr>
        <w:rPr>
          <w:szCs w:val="20"/>
        </w:rPr>
      </w:pPr>
      <w:r>
        <w:rPr>
          <w:b/>
          <w:szCs w:val="20"/>
          <w:u w:val="single"/>
        </w:rPr>
        <w:t>Declaração de compatibilidade com o Plano Plurianual</w:t>
      </w:r>
      <w:r>
        <w:rPr>
          <w:szCs w:val="20"/>
        </w:rPr>
        <w:t>, no caso de investimento cuja execução ultrapasse um exercício financeiro.</w:t>
      </w:r>
    </w:p>
    <w:p w:rsidR="00FF066C" w:rsidRDefault="00FF066C" w:rsidP="00FF066C">
      <w:pPr>
        <w:rPr>
          <w:szCs w:val="20"/>
        </w:rPr>
      </w:pPr>
    </w:p>
    <w:p w:rsidR="00FF066C" w:rsidRDefault="00FF066C" w:rsidP="00FF066C">
      <w:pPr>
        <w:rPr>
          <w:szCs w:val="20"/>
        </w:rPr>
      </w:pPr>
      <w:r>
        <w:rPr>
          <w:szCs w:val="20"/>
        </w:rPr>
        <w:t>Os serviços a serem contratados serão executados no prazo superior a um ano, conforme consta do Termo de Referência e a previsão de recursos orçamentários é compatível, conforme previsto no Plano Plurianual.</w:t>
      </w:r>
    </w:p>
    <w:p w:rsidR="00FF066C" w:rsidRDefault="00FF066C" w:rsidP="00FF066C">
      <w:pPr>
        <w:rPr>
          <w:szCs w:val="20"/>
        </w:rPr>
      </w:pPr>
    </w:p>
    <w:p w:rsidR="00FF066C" w:rsidRDefault="00FF066C" w:rsidP="00FF066C">
      <w:pPr>
        <w:rPr>
          <w:szCs w:val="20"/>
        </w:rPr>
      </w:pPr>
      <w:r>
        <w:rPr>
          <w:b/>
          <w:szCs w:val="20"/>
          <w:u w:val="single"/>
        </w:rPr>
        <w:t>Desapropriação:</w:t>
      </w:r>
      <w:r>
        <w:rPr>
          <w:color w:val="FF0000"/>
          <w:szCs w:val="20"/>
        </w:rPr>
        <w:t xml:space="preserve"> </w:t>
      </w:r>
      <w:r>
        <w:rPr>
          <w:szCs w:val="20"/>
        </w:rPr>
        <w:t>Não se aplica. No projeto foram identificados e regularizados os imóveis que serão atingidos diretamente pelas obras. Os imóveis a serem utilizados para implantação das partes do objeto pertencem ao Município de Capitólio/MG, sendo, pelo mesmo, destinados à implantação das obras.</w:t>
      </w:r>
    </w:p>
    <w:p w:rsidR="00FF066C" w:rsidRDefault="00FF066C" w:rsidP="00FF066C">
      <w:pPr>
        <w:rPr>
          <w:szCs w:val="20"/>
        </w:rPr>
      </w:pPr>
    </w:p>
    <w:p w:rsidR="00FF066C" w:rsidRDefault="00FF066C" w:rsidP="00FF066C">
      <w:pPr>
        <w:rPr>
          <w:szCs w:val="20"/>
        </w:rPr>
      </w:pPr>
      <w:r>
        <w:rPr>
          <w:szCs w:val="20"/>
        </w:rPr>
        <w:t>Desta forma, em um primeiro momento, não será necessária a desapropriação de imóveis particulares, sendo desnecessária a elaboração do Projeto de Desapropriação.</w:t>
      </w:r>
    </w:p>
    <w:p w:rsidR="00FF066C" w:rsidRDefault="00FF066C" w:rsidP="00FF066C">
      <w:pPr>
        <w:rPr>
          <w:szCs w:val="20"/>
        </w:rPr>
      </w:pPr>
    </w:p>
    <w:p w:rsidR="00FF066C" w:rsidRDefault="00FF066C" w:rsidP="00FF066C">
      <w:pPr>
        <w:rPr>
          <w:szCs w:val="20"/>
        </w:rPr>
      </w:pPr>
    </w:p>
    <w:p w:rsidR="00FF066C" w:rsidRDefault="00FF066C" w:rsidP="00FF066C">
      <w:pPr>
        <w:rPr>
          <w:szCs w:val="20"/>
        </w:rPr>
      </w:pPr>
      <w:r>
        <w:rPr>
          <w:b/>
          <w:szCs w:val="20"/>
          <w:u w:val="single"/>
        </w:rPr>
        <w:t>Critério de Julgamento</w:t>
      </w:r>
      <w:r>
        <w:rPr>
          <w:szCs w:val="20"/>
        </w:rPr>
        <w:t xml:space="preserve">: </w:t>
      </w:r>
      <w:r>
        <w:rPr>
          <w:b/>
          <w:szCs w:val="20"/>
        </w:rPr>
        <w:t>Maior Desconto</w:t>
      </w:r>
      <w:r>
        <w:rPr>
          <w:szCs w:val="20"/>
        </w:rPr>
        <w:t>, de acordo com o Art.54 da Lei n.º 13.303/2016.</w:t>
      </w:r>
    </w:p>
    <w:p w:rsidR="00FF066C" w:rsidRDefault="00FF066C" w:rsidP="00FF066C">
      <w:pPr>
        <w:rPr>
          <w:szCs w:val="20"/>
        </w:rPr>
      </w:pPr>
    </w:p>
    <w:p w:rsidR="00FF066C" w:rsidRDefault="00FF066C" w:rsidP="00FF066C">
      <w:pPr>
        <w:rPr>
          <w:b/>
          <w:szCs w:val="20"/>
        </w:rPr>
      </w:pPr>
      <w:r>
        <w:rPr>
          <w:b/>
          <w:szCs w:val="20"/>
          <w:u w:val="single"/>
        </w:rPr>
        <w:t>Divulgação do valor orçado:</w:t>
      </w:r>
      <w:r>
        <w:rPr>
          <w:szCs w:val="20"/>
        </w:rPr>
        <w:t xml:space="preserve"> Tendo em vista que o critério de julgamento é de maior desconto</w:t>
      </w:r>
      <w:r>
        <w:rPr>
          <w:b/>
          <w:szCs w:val="20"/>
        </w:rPr>
        <w:t>.</w:t>
      </w:r>
    </w:p>
    <w:p w:rsidR="00FF066C" w:rsidRDefault="00FF066C" w:rsidP="00FF066C">
      <w:pPr>
        <w:rPr>
          <w:b/>
          <w:szCs w:val="20"/>
        </w:rPr>
      </w:pPr>
    </w:p>
    <w:p w:rsidR="00FF066C" w:rsidRDefault="00FF066C" w:rsidP="00FF066C">
      <w:pPr>
        <w:spacing w:line="276" w:lineRule="auto"/>
        <w:rPr>
          <w:szCs w:val="20"/>
        </w:rPr>
      </w:pPr>
      <w:r>
        <w:rPr>
          <w:szCs w:val="20"/>
        </w:rPr>
        <w:t>A divulgação no orçamento, no presente caso, é justificada uma vez que orçamento de referência servirá como critério para aceitabilidade das propostas, bem como servirão de base para apresentação das propostas das licitantes tendo em vista que o critério de julgamento será o maior desconto.</w:t>
      </w:r>
    </w:p>
    <w:p w:rsidR="00FF066C" w:rsidRDefault="00FF066C" w:rsidP="00FF066C">
      <w:pPr>
        <w:spacing w:line="276" w:lineRule="auto"/>
        <w:rPr>
          <w:szCs w:val="20"/>
        </w:rPr>
      </w:pPr>
    </w:p>
    <w:p w:rsidR="00FF066C" w:rsidRDefault="00FF066C" w:rsidP="00FF066C">
      <w:pPr>
        <w:rPr>
          <w:i/>
          <w:szCs w:val="20"/>
        </w:rPr>
      </w:pPr>
      <w:r>
        <w:rPr>
          <w:i/>
          <w:szCs w:val="20"/>
        </w:rPr>
        <w:t>Registra-se, nesse mesmo sentido, a recomendação contida no Acórdão nº 1502/2018 – Plenário TCU, que dispõe: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rsidR="00FF066C" w:rsidRDefault="00FF066C" w:rsidP="00FF066C">
      <w:pPr>
        <w:rPr>
          <w:b/>
          <w:szCs w:val="20"/>
          <w:u w:val="single"/>
        </w:rPr>
      </w:pPr>
    </w:p>
    <w:p w:rsidR="00FF066C" w:rsidRDefault="00FF066C" w:rsidP="00FF066C">
      <w:pPr>
        <w:rPr>
          <w:szCs w:val="20"/>
        </w:rPr>
      </w:pPr>
      <w:r>
        <w:rPr>
          <w:b/>
          <w:szCs w:val="20"/>
          <w:u w:val="single"/>
        </w:rPr>
        <w:t>Aprovação do Projeto Básico</w:t>
      </w:r>
      <w:r>
        <w:rPr>
          <w:szCs w:val="20"/>
        </w:rPr>
        <w:t>: O projeto básico deverá ser aprovado por ato da autoridade competente, conforme Resolução a ser inserida ao processo.</w:t>
      </w:r>
    </w:p>
    <w:p w:rsidR="00FF066C" w:rsidRDefault="00FF066C" w:rsidP="00FF066C">
      <w:pPr>
        <w:rPr>
          <w:color w:val="0070C0"/>
          <w:szCs w:val="20"/>
        </w:rPr>
      </w:pPr>
    </w:p>
    <w:p w:rsidR="00FF066C" w:rsidRDefault="00FF066C" w:rsidP="00FF066C">
      <w:pPr>
        <w:rPr>
          <w:color w:val="FF0000"/>
          <w:szCs w:val="20"/>
        </w:rPr>
      </w:pPr>
      <w:r>
        <w:rPr>
          <w:b/>
          <w:szCs w:val="20"/>
          <w:u w:val="single"/>
        </w:rPr>
        <w:t>Qualificação Técnica:</w:t>
      </w:r>
      <w:r>
        <w:rPr>
          <w:color w:val="FF0000"/>
          <w:szCs w:val="20"/>
        </w:rPr>
        <w:t xml:space="preserve"> </w:t>
      </w:r>
    </w:p>
    <w:p w:rsidR="00FF066C" w:rsidRDefault="00FF066C" w:rsidP="00FF066C">
      <w:pPr>
        <w:rPr>
          <w:color w:val="FF0000"/>
          <w:szCs w:val="20"/>
        </w:rPr>
      </w:pPr>
    </w:p>
    <w:p w:rsidR="00FF066C" w:rsidRDefault="00FF066C" w:rsidP="00FF066C">
      <w:pPr>
        <w:rPr>
          <w:szCs w:val="20"/>
        </w:rPr>
      </w:pPr>
      <w:r>
        <w:rPr>
          <w:szCs w:val="20"/>
        </w:rPr>
        <w:t xml:space="preserve">As exigências contidas nesse TR se justificam em função da necessidade de “seleção” de empresas com capacidade técnica e executiva e experiência comprovada para execução das obras objeto do presente Termo de Referência. Os serviços são os mais relevantes em quantidade e tecnicamente e comprovarão a capacidade da empresa em executar o objeto do presente Termo de Referência. </w:t>
      </w:r>
    </w:p>
    <w:p w:rsidR="00FF066C" w:rsidRDefault="00FF066C" w:rsidP="00FF066C">
      <w:pPr>
        <w:rPr>
          <w:szCs w:val="20"/>
        </w:rPr>
      </w:pPr>
    </w:p>
    <w:p w:rsidR="00FF066C" w:rsidRDefault="00FF066C" w:rsidP="00FF066C">
      <w:pPr>
        <w:rPr>
          <w:szCs w:val="20"/>
        </w:rPr>
      </w:pPr>
      <w:r>
        <w:rPr>
          <w:b/>
          <w:szCs w:val="20"/>
        </w:rPr>
        <w:t>Justificativa para não aceitação da soma de quantitativos de atestados</w:t>
      </w:r>
      <w:r>
        <w:rPr>
          <w:szCs w:val="20"/>
        </w:rPr>
        <w:t xml:space="preserve">: Necessidade de comprovação de execução e gerenciamento de obras com porte similares e para evitar empresas que não tenham condições de executar a obra, pois a mesma já foi objeto de um contrato paralisado. </w:t>
      </w:r>
    </w:p>
    <w:p w:rsidR="00FF066C" w:rsidRDefault="00FF066C" w:rsidP="00FF066C">
      <w:pPr>
        <w:rPr>
          <w:color w:val="FF0000"/>
          <w:szCs w:val="20"/>
        </w:rPr>
      </w:pPr>
    </w:p>
    <w:p w:rsidR="00FF066C" w:rsidRDefault="00FF066C" w:rsidP="00FF066C">
      <w:pPr>
        <w:rPr>
          <w:b/>
          <w:szCs w:val="20"/>
          <w:u w:val="single"/>
        </w:rPr>
      </w:pPr>
    </w:p>
    <w:p w:rsidR="00FF066C" w:rsidRDefault="00FF066C" w:rsidP="00FF066C">
      <w:pPr>
        <w:rPr>
          <w:szCs w:val="20"/>
        </w:rPr>
      </w:pPr>
      <w:r>
        <w:rPr>
          <w:b/>
          <w:szCs w:val="20"/>
          <w:u w:val="single"/>
        </w:rPr>
        <w:t>Para a não utilização da Contratação Semi-integrada</w:t>
      </w:r>
      <w:r>
        <w:rPr>
          <w:szCs w:val="20"/>
          <w:u w:val="single"/>
        </w:rPr>
        <w:t>:</w:t>
      </w:r>
    </w:p>
    <w:p w:rsidR="00FF066C" w:rsidRDefault="00FF066C" w:rsidP="00FF066C">
      <w:pPr>
        <w:rPr>
          <w:b/>
          <w:color w:val="FF0000"/>
          <w:szCs w:val="20"/>
          <w:u w:val="single"/>
        </w:rPr>
      </w:pPr>
    </w:p>
    <w:p w:rsidR="00FF066C" w:rsidRDefault="00FF066C" w:rsidP="00FF066C">
      <w:pPr>
        <w:rPr>
          <w:szCs w:val="20"/>
        </w:rPr>
      </w:pPr>
      <w:r>
        <w:rPr>
          <w:szCs w:val="20"/>
        </w:rPr>
        <w:t>O § 4º do art. 42 da Lei nº 13.303/2016 coloca como regra a utilização da contratação semi-integrada no caso de licitações para obras e serviços de engenharia, podendo ser utilizada outra modalidade desde que justificada:</w:t>
      </w:r>
    </w:p>
    <w:p w:rsidR="00FF066C" w:rsidRDefault="00FF066C" w:rsidP="00FF066C">
      <w:pPr>
        <w:rPr>
          <w:szCs w:val="20"/>
        </w:rPr>
      </w:pPr>
    </w:p>
    <w:p w:rsidR="00FF066C" w:rsidRDefault="00FF066C" w:rsidP="00FF066C">
      <w:pPr>
        <w:rPr>
          <w:b/>
          <w:i/>
          <w:szCs w:val="20"/>
        </w:rPr>
      </w:pPr>
      <w:r>
        <w:rPr>
          <w:b/>
          <w:i/>
          <w:szCs w:val="20"/>
        </w:rPr>
        <w:lastRenderedPageBreak/>
        <w:t>Art. 42...</w:t>
      </w:r>
    </w:p>
    <w:p w:rsidR="00FF066C" w:rsidRDefault="00FF066C" w:rsidP="00FF066C">
      <w:pPr>
        <w:pStyle w:val="artigo"/>
        <w:spacing w:before="0" w:beforeAutospacing="0" w:after="0" w:afterAutospacing="0"/>
        <w:jc w:val="both"/>
        <w:rPr>
          <w:rFonts w:ascii="Arial" w:hAnsi="Arial" w:cs="Arial"/>
          <w:i/>
        </w:rPr>
      </w:pPr>
    </w:p>
    <w:p w:rsidR="00FF066C" w:rsidRDefault="00FF066C" w:rsidP="00FF066C">
      <w:pPr>
        <w:rPr>
          <w:i/>
          <w:szCs w:val="20"/>
        </w:rPr>
      </w:pPr>
      <w:r>
        <w:rPr>
          <w:i/>
          <w:szCs w:val="20"/>
        </w:rPr>
        <w:t xml:space="preserve">“§ 4º No caso de licitação de obras e serviços de engenharia, as empresas públicas e as sociedades de economia mista abrangidas por esta Lei </w:t>
      </w:r>
      <w:r>
        <w:rPr>
          <w:i/>
          <w:szCs w:val="20"/>
          <w:u w:val="single"/>
        </w:rPr>
        <w:t>deverão utilizar a contratação semi-integrada,</w:t>
      </w:r>
      <w:r>
        <w:rPr>
          <w:i/>
          <w:szCs w:val="20"/>
        </w:rPr>
        <w:t xml:space="preserve"> prevista no inciso V do caput, cabendo a elas a elaboração ou a contratação do projeto básico antes da licitação de que trata este parágrafo, podendo ser utilizadas outras modalidades previstas nos incisos do caput deste artigo, desde que essa opção seja devidamente justificada.</w:t>
      </w:r>
    </w:p>
    <w:p w:rsidR="00FF066C" w:rsidRDefault="00FF066C" w:rsidP="00FF066C">
      <w:pPr>
        <w:rPr>
          <w:i/>
          <w:szCs w:val="20"/>
        </w:rPr>
      </w:pPr>
    </w:p>
    <w:p w:rsidR="00FF066C" w:rsidRDefault="00FF066C" w:rsidP="00FF066C">
      <w:pPr>
        <w:rPr>
          <w:i/>
          <w:szCs w:val="20"/>
        </w:rPr>
      </w:pPr>
    </w:p>
    <w:p w:rsidR="00FF066C" w:rsidRDefault="00FF066C" w:rsidP="00FF066C">
      <w:pPr>
        <w:rPr>
          <w:i/>
          <w:szCs w:val="20"/>
        </w:rPr>
      </w:pPr>
      <w:r>
        <w:rPr>
          <w:b/>
          <w:i/>
          <w:szCs w:val="20"/>
        </w:rPr>
        <w:t>Ainda conforme Art. 42, inciso V, tem-se sobre a contratação semi-integrada</w:t>
      </w:r>
      <w:r>
        <w:rPr>
          <w:i/>
          <w:szCs w:val="20"/>
        </w:rPr>
        <w:t>:</w:t>
      </w:r>
    </w:p>
    <w:p w:rsidR="00FF066C" w:rsidRDefault="00FF066C" w:rsidP="00FF066C">
      <w:pPr>
        <w:rPr>
          <w:i/>
          <w:szCs w:val="20"/>
        </w:rPr>
      </w:pPr>
    </w:p>
    <w:p w:rsidR="00FF066C" w:rsidRDefault="00FF066C" w:rsidP="00FF066C">
      <w:pPr>
        <w:rPr>
          <w:i/>
          <w:szCs w:val="20"/>
        </w:rPr>
      </w:pPr>
      <w:r>
        <w:rPr>
          <w:i/>
          <w:szCs w:val="20"/>
        </w:rPr>
        <w:t>V - Contratação semi-integrada: contratação que envolve a elaboração e o desenvolvimento do projeto executivo, a execução de obras e serviços de engenharia, a montagem, a realização de testes, a pré-operação e as demais operações necessárias e suficientes para a entrega final do objeto, de acordo com o estabelecido nos §§ 1o e 3o deste artigo.</w:t>
      </w:r>
    </w:p>
    <w:p w:rsidR="00FF066C" w:rsidRDefault="00FF066C" w:rsidP="00FF066C">
      <w:pPr>
        <w:pStyle w:val="artigo"/>
        <w:rPr>
          <w:rFonts w:ascii="Arial" w:eastAsiaTheme="minorHAnsi" w:hAnsi="Arial" w:cs="Arial"/>
          <w:b/>
          <w:i/>
          <w:sz w:val="20"/>
          <w:szCs w:val="20"/>
          <w:lang w:eastAsia="en-US"/>
        </w:rPr>
      </w:pPr>
      <w:r>
        <w:rPr>
          <w:rFonts w:ascii="Arial" w:eastAsiaTheme="minorHAnsi" w:hAnsi="Arial" w:cs="Arial"/>
          <w:b/>
          <w:i/>
          <w:sz w:val="20"/>
          <w:szCs w:val="20"/>
          <w:lang w:eastAsia="en-US"/>
        </w:rPr>
        <w:t>Ademais, o art. 42 da Lei 13.303 traz em seu § 1º, o texto a seguir:</w:t>
      </w:r>
    </w:p>
    <w:p w:rsidR="00FF066C" w:rsidRDefault="00FF066C" w:rsidP="00FF066C">
      <w:pPr>
        <w:pStyle w:val="artigo"/>
        <w:jc w:val="both"/>
        <w:rPr>
          <w:rFonts w:ascii="Arial" w:eastAsiaTheme="minorHAnsi" w:hAnsi="Arial" w:cs="Arial"/>
          <w:i/>
          <w:sz w:val="20"/>
          <w:szCs w:val="20"/>
          <w:lang w:eastAsia="en-US"/>
        </w:rPr>
      </w:pPr>
      <w:r>
        <w:rPr>
          <w:rFonts w:ascii="Arial" w:eastAsiaTheme="minorHAnsi" w:hAnsi="Arial" w:cs="Arial"/>
          <w:i/>
          <w:sz w:val="20"/>
          <w:szCs w:val="20"/>
          <w:lang w:eastAsia="en-US"/>
        </w:rPr>
        <w:t>§ 1o  </w:t>
      </w:r>
      <w:r>
        <w:rPr>
          <w:rFonts w:ascii="Arial" w:eastAsiaTheme="minorHAnsi" w:hAnsi="Arial" w:cs="Arial"/>
          <w:i/>
          <w:sz w:val="20"/>
          <w:szCs w:val="20"/>
          <w:u w:val="single"/>
          <w:lang w:eastAsia="en-US"/>
        </w:rPr>
        <w:t>As contratações semi-integradas e integradas referidas</w:t>
      </w:r>
      <w:r>
        <w:rPr>
          <w:rFonts w:ascii="Arial" w:eastAsiaTheme="minorHAnsi" w:hAnsi="Arial" w:cs="Arial"/>
          <w:i/>
          <w:sz w:val="20"/>
          <w:szCs w:val="20"/>
          <w:lang w:eastAsia="en-US"/>
        </w:rPr>
        <w:t>, respectivamente, nos incisos V e VI do caput deste artigo restringir-se-ão a obras e serviços de engenharia e observarão os seguintes requisitos: </w:t>
      </w:r>
    </w:p>
    <w:p w:rsidR="00FF066C" w:rsidRDefault="00FF066C" w:rsidP="00FF066C">
      <w:pPr>
        <w:pStyle w:val="artigo"/>
        <w:rPr>
          <w:rFonts w:ascii="Arial" w:hAnsi="Arial" w:cs="Arial"/>
        </w:rPr>
      </w:pPr>
      <w:r>
        <w:rPr>
          <w:rFonts w:ascii="Arial" w:eastAsiaTheme="minorHAnsi" w:hAnsi="Arial" w:cs="Arial"/>
          <w:i/>
          <w:sz w:val="20"/>
          <w:szCs w:val="20"/>
          <w:lang w:eastAsia="en-US"/>
        </w:rPr>
        <w:t>I - o instrumento convocatório deverá conter: </w:t>
      </w:r>
    </w:p>
    <w:p w:rsidR="00FF066C" w:rsidRDefault="00FF066C" w:rsidP="00FF066C">
      <w:pPr>
        <w:rPr>
          <w:i/>
          <w:szCs w:val="20"/>
        </w:rPr>
      </w:pPr>
      <w:r>
        <w:rPr>
          <w:i/>
          <w:szCs w:val="20"/>
        </w:rPr>
        <w:t>...</w:t>
      </w:r>
    </w:p>
    <w:p w:rsidR="00FF066C" w:rsidRDefault="00FF066C" w:rsidP="00FF066C">
      <w:r>
        <w:rPr>
          <w:i/>
          <w:szCs w:val="20"/>
        </w:rPr>
        <w:t xml:space="preserve">c) </w:t>
      </w:r>
      <w:r>
        <w:rPr>
          <w:i/>
          <w:szCs w:val="20"/>
          <w:u w:val="single"/>
        </w:rPr>
        <w:t>documento técnico, com definição precisa das frações do empreendimento em que haverá liberdade de as contratadas inovarem em soluções metodológicas ou tecnológicas, seja em termos de modificação das soluções previamente delineadas no anteprojeto ou no projeto básico da licitação</w:t>
      </w:r>
      <w:r>
        <w:rPr>
          <w:i/>
          <w:szCs w:val="20"/>
        </w:rPr>
        <w:t>, seja em termos de detalhamento dos sistemas e procedimentos construtivos previstos nessas peças técnicas.</w:t>
      </w:r>
    </w:p>
    <w:p w:rsidR="00FF066C" w:rsidRDefault="00FF066C" w:rsidP="00FF066C"/>
    <w:p w:rsidR="00FF066C" w:rsidRDefault="00FF066C" w:rsidP="00FF066C">
      <w:pPr>
        <w:rPr>
          <w:b/>
        </w:rPr>
      </w:pPr>
      <w:r>
        <w:rPr>
          <w:b/>
        </w:rPr>
        <w:t>O Art. 43 traz as seguintes colocações acerca da contratação semi-integrada:</w:t>
      </w:r>
    </w:p>
    <w:p w:rsidR="00FF066C" w:rsidRDefault="00FF066C" w:rsidP="00FF066C"/>
    <w:p w:rsidR="00FF066C" w:rsidRDefault="00FF066C" w:rsidP="00FF066C">
      <w:pPr>
        <w:rPr>
          <w:i/>
          <w:u w:val="single"/>
        </w:rPr>
      </w:pPr>
      <w:r>
        <w:rPr>
          <w:i/>
        </w:rPr>
        <w:t xml:space="preserve">Art. 43.  Os </w:t>
      </w:r>
      <w:r>
        <w:rPr>
          <w:i/>
          <w:u w:val="single"/>
        </w:rPr>
        <w:t>contratos destinados à execução de obras e serviços de engenharia admitirão os seguintes regimes:  </w:t>
      </w:r>
    </w:p>
    <w:p w:rsidR="00FF066C" w:rsidRDefault="00FF066C" w:rsidP="00FF066C">
      <w:pPr>
        <w:rPr>
          <w:i/>
        </w:rPr>
      </w:pPr>
      <w:r>
        <w:rPr>
          <w:i/>
        </w:rPr>
        <w:t>...</w:t>
      </w:r>
    </w:p>
    <w:p w:rsidR="00FF066C" w:rsidRDefault="00FF066C" w:rsidP="00FF066C">
      <w:pPr>
        <w:rPr>
          <w:i/>
          <w:szCs w:val="20"/>
        </w:rPr>
      </w:pPr>
    </w:p>
    <w:p w:rsidR="00FF066C" w:rsidRDefault="00FF066C" w:rsidP="00FF066C">
      <w:pPr>
        <w:rPr>
          <w:i/>
          <w:szCs w:val="20"/>
        </w:rPr>
      </w:pPr>
      <w:r>
        <w:rPr>
          <w:i/>
          <w:szCs w:val="20"/>
        </w:rPr>
        <w:t xml:space="preserve">V - contratação semi-integrada, </w:t>
      </w:r>
      <w:r>
        <w:rPr>
          <w:i/>
          <w:szCs w:val="20"/>
          <w:u w:val="single"/>
        </w:rPr>
        <w:t>quando for possível definir previamente no projeto básico as quantidades dos serviços a serem posteriormente executados na fase contratual, em obra ou serviço de engenharia que possa ser executado com diferentes metodologias ou tecnologias</w:t>
      </w:r>
      <w:r>
        <w:rPr>
          <w:i/>
          <w:szCs w:val="20"/>
        </w:rPr>
        <w:t>;</w:t>
      </w:r>
    </w:p>
    <w:p w:rsidR="00FF066C" w:rsidRDefault="00FF066C" w:rsidP="00FF066C">
      <w:pPr>
        <w:rPr>
          <w:b/>
          <w:i/>
          <w:szCs w:val="20"/>
        </w:rPr>
      </w:pPr>
    </w:p>
    <w:p w:rsidR="00FF066C" w:rsidRDefault="00FF066C" w:rsidP="00FF066C">
      <w:pPr>
        <w:rPr>
          <w:b/>
          <w:szCs w:val="20"/>
        </w:rPr>
      </w:pPr>
      <w:r>
        <w:rPr>
          <w:b/>
          <w:szCs w:val="20"/>
        </w:rPr>
        <w:t>Pelo exposto, no presente caso, ainda que haja um projeto básico e que o objeto trate de obra e serviço de engenharia, não se vislumbra a necessidade de adoção de inovação metodológica e/ou tecnológica na execução do objeto, tendo em vista se tratar o projeto básico de obras e serviços bem definidos quanto a sua metodologia executiva e insumos necessários, sendo essas metodologias e tecnologias já consolidadas e reiteradamente aplicadas em contratações semelhantes pela Codevasf. Consequentemente, não se justifica a adoção da contratação semi-integrada.</w:t>
      </w:r>
    </w:p>
    <w:p w:rsidR="00FF066C" w:rsidRDefault="00FF066C" w:rsidP="00FF066C">
      <w:pPr>
        <w:rPr>
          <w:b/>
          <w:szCs w:val="20"/>
        </w:rPr>
      </w:pPr>
    </w:p>
    <w:p w:rsidR="00FF066C" w:rsidRDefault="00FF066C" w:rsidP="00FF066C">
      <w:pPr>
        <w:rPr>
          <w:b/>
          <w:szCs w:val="20"/>
        </w:rPr>
      </w:pPr>
      <w:r>
        <w:rPr>
          <w:b/>
          <w:szCs w:val="20"/>
        </w:rPr>
        <w:t>Ademais, considerando a inexistência de previsão, pela Administração, de adoção de inovação tecnológica ou metodológica na execução do contrato, não se vislumbra a possibilidade de definição de itens do objeto contratual onde possa haver a aplicação desses aspectos, prejudicando, dessa forma, o atendimento ao que dispõe a alínea c, parágrafo §1º do Art. 42 e, consequentemente, a adoção da contratação semi-integrada como regime de contratação.</w:t>
      </w:r>
    </w:p>
    <w:p w:rsidR="00FF066C" w:rsidRDefault="00FF066C" w:rsidP="00FF066C">
      <w:pPr>
        <w:rPr>
          <w:szCs w:val="20"/>
        </w:rPr>
      </w:pPr>
    </w:p>
    <w:p w:rsidR="00FF066C" w:rsidRDefault="00FF066C" w:rsidP="00FF066C">
      <w:pPr>
        <w:rPr>
          <w:b/>
          <w:i/>
          <w:color w:val="FF0000"/>
          <w:szCs w:val="20"/>
        </w:rPr>
      </w:pPr>
    </w:p>
    <w:p w:rsidR="00FF066C" w:rsidRDefault="00FF066C" w:rsidP="00FF066C">
      <w:pPr>
        <w:rPr>
          <w:szCs w:val="20"/>
        </w:rPr>
      </w:pPr>
      <w:r>
        <w:rPr>
          <w:b/>
          <w:szCs w:val="20"/>
          <w:u w:val="single"/>
        </w:rPr>
        <w:lastRenderedPageBreak/>
        <w:t>Licença Ambiental:</w:t>
      </w:r>
      <w:r>
        <w:rPr>
          <w:szCs w:val="20"/>
        </w:rPr>
        <w:t xml:space="preserve"> Segue no processo a respectiva Declaração de Dispensa de Licenciamento Ambiental, relativa à implantação das redes interceptoras, estação elevatória e do emissário.</w:t>
      </w:r>
    </w:p>
    <w:p w:rsidR="00FF066C" w:rsidRDefault="00FF066C" w:rsidP="00FF066C">
      <w:pPr>
        <w:rPr>
          <w:szCs w:val="20"/>
        </w:rPr>
      </w:pPr>
    </w:p>
    <w:p w:rsidR="00FF066C" w:rsidRDefault="00FF066C" w:rsidP="00FF066C">
      <w:pPr>
        <w:rPr>
          <w:szCs w:val="20"/>
        </w:rPr>
      </w:pPr>
      <w:r>
        <w:rPr>
          <w:szCs w:val="20"/>
        </w:rPr>
        <w:t>A implantação/operação da Estação de Tratamento de Esgotos – ETE demanda Licenciamento Ambiental Simplificado (LAS) com apresentação de um Relatório Ambiental Simplificado (RAS), cuja solicitação de licença foi protocolada no órgão ambiental.</w:t>
      </w:r>
    </w:p>
    <w:p w:rsidR="00FF066C" w:rsidRDefault="00FF066C" w:rsidP="00FF066C">
      <w:pPr>
        <w:rPr>
          <w:szCs w:val="20"/>
        </w:rPr>
      </w:pPr>
    </w:p>
    <w:p w:rsidR="00FF066C" w:rsidRDefault="00FF066C" w:rsidP="00FF066C">
      <w:pPr>
        <w:rPr>
          <w:szCs w:val="20"/>
        </w:rPr>
      </w:pPr>
    </w:p>
    <w:p w:rsidR="00FF066C" w:rsidRDefault="00FF066C" w:rsidP="00FF066C">
      <w:pPr>
        <w:rPr>
          <w:b/>
          <w:szCs w:val="20"/>
        </w:rPr>
      </w:pPr>
    </w:p>
    <w:p w:rsidR="00FF066C" w:rsidRDefault="00FF066C" w:rsidP="00FF066C">
      <w:pPr>
        <w:spacing w:after="200" w:line="276" w:lineRule="auto"/>
        <w:jc w:val="left"/>
        <w:rPr>
          <w:bCs/>
          <w:szCs w:val="20"/>
        </w:rPr>
      </w:pPr>
      <w:r>
        <w:rPr>
          <w:bCs/>
          <w:szCs w:val="20"/>
        </w:rPr>
        <w:br w:type="page"/>
      </w:r>
    </w:p>
    <w:bookmarkEnd w:id="0"/>
    <w:bookmarkEnd w:id="1"/>
    <w:p w:rsidR="009F64F7" w:rsidRPr="00EB3286" w:rsidRDefault="009F64F7">
      <w:pPr>
        <w:jc w:val="center"/>
        <w:rPr>
          <w:b/>
          <w:szCs w:val="20"/>
        </w:rPr>
      </w:pPr>
    </w:p>
    <w:sectPr w:rsidR="009F64F7" w:rsidRPr="00EB3286" w:rsidSect="008E7D66">
      <w:headerReference w:type="default" r:id="rId8"/>
      <w:footerReference w:type="default" r:id="rId9"/>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07C" w:rsidRDefault="002E407C" w:rsidP="00A507E3">
      <w:r>
        <w:separator/>
      </w:r>
    </w:p>
  </w:endnote>
  <w:endnote w:type="continuationSeparator" w:id="0">
    <w:p w:rsidR="002E407C" w:rsidRDefault="002E407C"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1839344"/>
      <w:docPartObj>
        <w:docPartGallery w:val="Page Numbers (Bottom of Page)"/>
        <w:docPartUnique/>
      </w:docPartObj>
    </w:sdtPr>
    <w:sdtEndPr/>
    <w:sdtContent>
      <w:p w:rsidR="007D4A12" w:rsidRDefault="007D4A12">
        <w:pPr>
          <w:pStyle w:val="Rodap"/>
          <w:jc w:val="right"/>
        </w:pPr>
        <w:r>
          <w:fldChar w:fldCharType="begin"/>
        </w:r>
        <w:r>
          <w:instrText>PAGE   \* MERGEFORMAT</w:instrText>
        </w:r>
        <w:r>
          <w:fldChar w:fldCharType="separate"/>
        </w:r>
        <w:r w:rsidR="00FF066C">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07C" w:rsidRDefault="002E407C" w:rsidP="00A507E3">
      <w:r>
        <w:separator/>
      </w:r>
    </w:p>
  </w:footnote>
  <w:footnote w:type="continuationSeparator" w:id="0">
    <w:p w:rsidR="002E407C" w:rsidRDefault="002E407C"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06" w:type="dxa"/>
      <w:jc w:val="center"/>
      <w:tblLook w:val="04A0" w:firstRow="1" w:lastRow="0" w:firstColumn="1" w:lastColumn="0" w:noHBand="0" w:noVBand="1"/>
    </w:tblPr>
    <w:tblGrid>
      <w:gridCol w:w="2976"/>
      <w:gridCol w:w="7230"/>
    </w:tblGrid>
    <w:tr w:rsidR="007D4A12" w:rsidTr="00A507E3">
      <w:trPr>
        <w:trHeight w:val="113"/>
        <w:jc w:val="center"/>
      </w:trPr>
      <w:tc>
        <w:tcPr>
          <w:tcW w:w="2836" w:type="dxa"/>
          <w:vAlign w:val="center"/>
        </w:tcPr>
        <w:p w:rsidR="007D4A12" w:rsidRDefault="007D4A12">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D4A12" w:rsidRPr="00A507E3" w:rsidRDefault="007D4A12">
          <w:pPr>
            <w:pStyle w:val="Cabealho"/>
            <w:rPr>
              <w:b/>
              <w:sz w:val="28"/>
              <w:szCs w:val="28"/>
            </w:rPr>
          </w:pPr>
          <w:r w:rsidRPr="00A507E3">
            <w:rPr>
              <w:b/>
              <w:sz w:val="28"/>
              <w:szCs w:val="28"/>
            </w:rPr>
            <w:t>Ministério da Integração Nacional</w:t>
          </w:r>
        </w:p>
        <w:p w:rsidR="007D4A12" w:rsidRPr="00A507E3" w:rsidRDefault="007D4A12" w:rsidP="00A507E3">
          <w:pPr>
            <w:pStyle w:val="Cabealho"/>
            <w:rPr>
              <w:b/>
              <w:sz w:val="19"/>
              <w:szCs w:val="19"/>
            </w:rPr>
          </w:pPr>
          <w:r w:rsidRPr="00A507E3">
            <w:rPr>
              <w:b/>
              <w:sz w:val="19"/>
              <w:szCs w:val="19"/>
            </w:rPr>
            <w:t>Companhia de Desenvolvimento dos Vales do São Francisco e do Parnaíba</w:t>
          </w:r>
        </w:p>
        <w:p w:rsidR="007D4A12" w:rsidRPr="005B7317" w:rsidRDefault="007D4A12" w:rsidP="00A507E3">
          <w:pPr>
            <w:pStyle w:val="Cabealho"/>
            <w:rPr>
              <w:b/>
            </w:rPr>
          </w:pPr>
          <w:r w:rsidRPr="005B7317">
            <w:rPr>
              <w:b/>
            </w:rPr>
            <w:t>Área de _________________________________</w:t>
          </w:r>
        </w:p>
      </w:tc>
    </w:tr>
  </w:tbl>
  <w:p w:rsidR="007D4A12" w:rsidRPr="00A507E3" w:rsidRDefault="007D4A12">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7D4A12" w:rsidRDefault="007D4A12" w:rsidP="00FF066C">
                          <w:pPr>
                            <w:spacing w:before="120"/>
                            <w:rPr>
                              <w:sz w:val="19"/>
                              <w:szCs w:val="19"/>
                            </w:rPr>
                          </w:pPr>
                        </w:p>
                        <w:p w:rsidR="00FF066C" w:rsidRPr="003F40E4" w:rsidRDefault="00FF066C" w:rsidP="00FF066C">
                          <w:pPr>
                            <w:spacing w:before="120"/>
                            <w:rPr>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7D4A12" w:rsidRDefault="007D4A12" w:rsidP="00FF066C">
                    <w:pPr>
                      <w:spacing w:before="120"/>
                      <w:rPr>
                        <w:sz w:val="19"/>
                        <w:szCs w:val="19"/>
                      </w:rPr>
                    </w:pPr>
                  </w:p>
                  <w:p w:rsidR="00FF066C" w:rsidRPr="003F40E4" w:rsidRDefault="00FF066C" w:rsidP="00FF066C">
                    <w:pPr>
                      <w:spacing w:before="120"/>
                      <w:rPr>
                        <w:szCs w:val="20"/>
                      </w:rP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8"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2"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32"/>
  </w:num>
  <w:num w:numId="3">
    <w:abstractNumId w:val="34"/>
  </w:num>
  <w:num w:numId="4">
    <w:abstractNumId w:val="15"/>
  </w:num>
  <w:num w:numId="5">
    <w:abstractNumId w:val="33"/>
  </w:num>
  <w:num w:numId="6">
    <w:abstractNumId w:val="6"/>
  </w:num>
  <w:num w:numId="7">
    <w:abstractNumId w:val="30"/>
  </w:num>
  <w:num w:numId="8">
    <w:abstractNumId w:val="13"/>
  </w:num>
  <w:num w:numId="9">
    <w:abstractNumId w:val="12"/>
  </w:num>
  <w:num w:numId="10">
    <w:abstractNumId w:val="18"/>
  </w:num>
  <w:num w:numId="11">
    <w:abstractNumId w:val="8"/>
  </w:num>
  <w:num w:numId="12">
    <w:abstractNumId w:val="21"/>
  </w:num>
  <w:num w:numId="13">
    <w:abstractNumId w:val="4"/>
  </w:num>
  <w:num w:numId="14">
    <w:abstractNumId w:val="24"/>
  </w:num>
  <w:num w:numId="15">
    <w:abstractNumId w:val="26"/>
  </w:num>
  <w:num w:numId="16">
    <w:abstractNumId w:val="35"/>
  </w:num>
  <w:num w:numId="17">
    <w:abstractNumId w:val="9"/>
  </w:num>
  <w:num w:numId="18">
    <w:abstractNumId w:val="7"/>
  </w:num>
  <w:num w:numId="19">
    <w:abstractNumId w:val="5"/>
  </w:num>
  <w:num w:numId="20">
    <w:abstractNumId w:val="31"/>
  </w:num>
  <w:num w:numId="21">
    <w:abstractNumId w:val="10"/>
  </w:num>
  <w:num w:numId="22">
    <w:abstractNumId w:val="36"/>
  </w:num>
  <w:num w:numId="23">
    <w:abstractNumId w:val="23"/>
  </w:num>
  <w:num w:numId="24">
    <w:abstractNumId w:val="19"/>
  </w:num>
  <w:num w:numId="25">
    <w:abstractNumId w:val="28"/>
  </w:num>
  <w:num w:numId="26">
    <w:abstractNumId w:val="25"/>
  </w:num>
  <w:num w:numId="27">
    <w:abstractNumId w:val="22"/>
  </w:num>
  <w:num w:numId="28">
    <w:abstractNumId w:val="2"/>
  </w:num>
  <w:num w:numId="29">
    <w:abstractNumId w:val="16"/>
  </w:num>
  <w:num w:numId="30">
    <w:abstractNumId w:val="29"/>
  </w:num>
  <w:num w:numId="31">
    <w:abstractNumId w:val="27"/>
  </w:num>
  <w:num w:numId="32">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4"/>
  </w:num>
  <w:num w:numId="36">
    <w:abstractNumId w:val="1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7"/>
  </w:num>
  <w:num w:numId="39">
    <w:abstractNumId w:val="17"/>
  </w:num>
  <w:num w:numId="40">
    <w:abstractNumId w:val="17"/>
  </w:num>
  <w:num w:numId="41">
    <w:abstractNumId w:val="17"/>
  </w:num>
  <w:num w:numId="42">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07C"/>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E46"/>
    <w:rsid w:val="003602FA"/>
    <w:rsid w:val="0036184B"/>
    <w:rsid w:val="0036262E"/>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AD2"/>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6C4F"/>
    <w:rsid w:val="00656EE9"/>
    <w:rsid w:val="0066082A"/>
    <w:rsid w:val="00661053"/>
    <w:rsid w:val="00661620"/>
    <w:rsid w:val="006641CF"/>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B77"/>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4980"/>
    <w:rsid w:val="009E4CA4"/>
    <w:rsid w:val="009E56A3"/>
    <w:rsid w:val="009E6B3D"/>
    <w:rsid w:val="009E756D"/>
    <w:rsid w:val="009E7E38"/>
    <w:rsid w:val="009F015D"/>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051"/>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3723"/>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5ED7"/>
    <w:rsid w:val="00FC1BC6"/>
    <w:rsid w:val="00FC202F"/>
    <w:rsid w:val="00FC2ABA"/>
    <w:rsid w:val="00FC3D77"/>
    <w:rsid w:val="00FC5B24"/>
    <w:rsid w:val="00FC60C6"/>
    <w:rsid w:val="00FC71CD"/>
    <w:rsid w:val="00FD01C9"/>
    <w:rsid w:val="00FD02FE"/>
    <w:rsid w:val="00FD3D2D"/>
    <w:rsid w:val="00FD49DF"/>
    <w:rsid w:val="00FD52E4"/>
    <w:rsid w:val="00FD69A9"/>
    <w:rsid w:val="00FE2AD6"/>
    <w:rsid w:val="00FE34A9"/>
    <w:rsid w:val="00FE63AF"/>
    <w:rsid w:val="00FE79DE"/>
    <w:rsid w:val="00FE7A0B"/>
    <w:rsid w:val="00FF066C"/>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34F8C4-A1D4-45AC-B74A-6D2763F9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37541097">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A7B17-6E31-447D-8DD7-9477C5BBA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1536</Words>
  <Characters>8295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Valeria Rosa Carvalho</cp:lastModifiedBy>
  <cp:revision>2</cp:revision>
  <cp:lastPrinted>2017-11-27T16:55:00Z</cp:lastPrinted>
  <dcterms:created xsi:type="dcterms:W3CDTF">2018-10-03T17:51:00Z</dcterms:created>
  <dcterms:modified xsi:type="dcterms:W3CDTF">2018-10-03T17:51:00Z</dcterms:modified>
</cp:coreProperties>
</file>